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74" w:rsidRDefault="004C79B2" w:rsidP="00147A7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SIM Sub-Committees</w:t>
      </w:r>
      <w:r w:rsidR="00147A74" w:rsidRPr="00147A74">
        <w:rPr>
          <w:b/>
          <w:sz w:val="36"/>
          <w:szCs w:val="36"/>
        </w:rPr>
        <w:t xml:space="preserve"> </w:t>
      </w:r>
      <w:r w:rsidR="00147A74">
        <w:rPr>
          <w:b/>
          <w:sz w:val="36"/>
          <w:szCs w:val="36"/>
        </w:rPr>
        <w:t xml:space="preserve">– High Level Scope </w:t>
      </w:r>
      <w:r w:rsidR="00147A74" w:rsidRPr="008F2B4F">
        <w:rPr>
          <w:b/>
          <w:sz w:val="36"/>
          <w:szCs w:val="36"/>
        </w:rPr>
        <w:t>Grid</w:t>
      </w:r>
    </w:p>
    <w:p w:rsidR="00147A74" w:rsidRPr="00EE37BB" w:rsidRDefault="00143C70" w:rsidP="00147A74">
      <w:pPr>
        <w:jc w:val="center"/>
        <w:rPr>
          <w:i/>
          <w:sz w:val="24"/>
          <w:szCs w:val="36"/>
        </w:rPr>
      </w:pPr>
      <w:r>
        <w:rPr>
          <w:b/>
          <w:sz w:val="36"/>
          <w:szCs w:val="36"/>
        </w:rPr>
        <w:t>Draft</w:t>
      </w:r>
    </w:p>
    <w:tbl>
      <w:tblPr>
        <w:tblpPr w:leftFromText="187" w:rightFromText="187" w:bottomFromText="72" w:vertAnchor="text" w:horzAnchor="margin" w:tblpXSpec="center" w:tblpY="289"/>
        <w:tblW w:w="1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330"/>
        <w:gridCol w:w="3150"/>
        <w:gridCol w:w="2970"/>
      </w:tblGrid>
      <w:tr w:rsidR="00147A74" w:rsidTr="002C4257">
        <w:trPr>
          <w:cantSplit/>
          <w:trHeight w:val="607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147A74" w:rsidRPr="00F758A0" w:rsidRDefault="00147A74" w:rsidP="003D68DB">
            <w:pPr>
              <w:spacing w:line="276" w:lineRule="auto"/>
              <w:jc w:val="center"/>
              <w:rPr>
                <w:b/>
              </w:rPr>
            </w:pPr>
            <w:r w:rsidRPr="00F758A0">
              <w:rPr>
                <w:b/>
              </w:rPr>
              <w:t>SIM Key Strategies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3D68DB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Delivery System Reform</w:t>
            </w:r>
            <w:r>
              <w:rPr>
                <w:b/>
              </w:rPr>
              <w:t xml:space="preserve"> Subcommittee</w:t>
            </w:r>
            <w:r w:rsidR="002C4257">
              <w:rPr>
                <w:b/>
              </w:rPr>
              <w:t xml:space="preserve">                          </w:t>
            </w:r>
            <w:r>
              <w:rPr>
                <w:b/>
              </w:rPr>
              <w:t>(</w:t>
            </w:r>
            <w:r w:rsidR="00BF4DD7">
              <w:rPr>
                <w:b/>
              </w:rPr>
              <w:t xml:space="preserve">Maine </w:t>
            </w:r>
            <w:r>
              <w:rPr>
                <w:b/>
              </w:rPr>
              <w:t>Q</w:t>
            </w:r>
            <w:r w:rsidR="00BF4DD7">
              <w:rPr>
                <w:b/>
              </w:rPr>
              <w:t xml:space="preserve">uality </w:t>
            </w:r>
            <w:r>
              <w:rPr>
                <w:b/>
              </w:rPr>
              <w:t>C</w:t>
            </w:r>
            <w:r w:rsidR="00BF4DD7">
              <w:rPr>
                <w:b/>
              </w:rPr>
              <w:t>ounts</w:t>
            </w:r>
            <w:r>
              <w:rPr>
                <w:b/>
              </w:rPr>
              <w:t>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3D68DB">
            <w:pPr>
              <w:jc w:val="center"/>
              <w:rPr>
                <w:b/>
              </w:rPr>
            </w:pPr>
            <w:r w:rsidRPr="004C79B2">
              <w:rPr>
                <w:b/>
              </w:rPr>
              <w:t>Payment Reform</w:t>
            </w:r>
            <w:r>
              <w:rPr>
                <w:b/>
              </w:rPr>
              <w:t xml:space="preserve"> Subcommittee (M</w:t>
            </w:r>
            <w:r w:rsidR="00BF4DD7">
              <w:rPr>
                <w:b/>
              </w:rPr>
              <w:t xml:space="preserve">aine </w:t>
            </w:r>
            <w:r>
              <w:rPr>
                <w:b/>
              </w:rPr>
              <w:t>H</w:t>
            </w:r>
            <w:r w:rsidR="00BF4DD7">
              <w:rPr>
                <w:b/>
              </w:rPr>
              <w:t xml:space="preserve">ealth </w:t>
            </w:r>
            <w:r>
              <w:rPr>
                <w:b/>
              </w:rPr>
              <w:t>M</w:t>
            </w:r>
            <w:r w:rsidR="00BF4DD7">
              <w:rPr>
                <w:b/>
              </w:rPr>
              <w:t xml:space="preserve">anagement </w:t>
            </w:r>
            <w:r>
              <w:rPr>
                <w:b/>
              </w:rPr>
              <w:t>C</w:t>
            </w:r>
            <w:r w:rsidR="00BF4DD7">
              <w:rPr>
                <w:b/>
              </w:rPr>
              <w:t>oalition</w:t>
            </w:r>
            <w:r>
              <w:rPr>
                <w:b/>
              </w:rPr>
              <w:t>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A74" w:rsidRPr="004C79B2" w:rsidRDefault="00147A74" w:rsidP="00D6342F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Data</w:t>
            </w:r>
            <w:r w:rsidR="00717DD9">
              <w:rPr>
                <w:b/>
              </w:rPr>
              <w:t xml:space="preserve"> </w:t>
            </w:r>
            <w:r w:rsidRPr="004C79B2">
              <w:rPr>
                <w:b/>
              </w:rPr>
              <w:t>Infrastructure</w:t>
            </w:r>
            <w:r w:rsidR="00143C70">
              <w:rPr>
                <w:b/>
              </w:rPr>
              <w:t xml:space="preserve"> Subcommittee</w:t>
            </w:r>
            <w:r>
              <w:rPr>
                <w:b/>
              </w:rPr>
              <w:t xml:space="preserve"> (H</w:t>
            </w:r>
            <w:r w:rsidR="00BF4DD7">
              <w:rPr>
                <w:b/>
              </w:rPr>
              <w:t>ealth</w:t>
            </w:r>
            <w:r>
              <w:rPr>
                <w:b/>
              </w:rPr>
              <w:t>I</w:t>
            </w:r>
            <w:r w:rsidR="00BF4DD7">
              <w:rPr>
                <w:b/>
              </w:rPr>
              <w:t>nfo</w:t>
            </w:r>
            <w:r>
              <w:rPr>
                <w:b/>
              </w:rPr>
              <w:t>N</w:t>
            </w:r>
            <w:r w:rsidR="00BF4DD7">
              <w:rPr>
                <w:b/>
              </w:rPr>
              <w:t>et</w:t>
            </w:r>
            <w:r>
              <w:rPr>
                <w:b/>
              </w:rPr>
              <w:t>)</w:t>
            </w:r>
          </w:p>
        </w:tc>
      </w:tr>
      <w:tr w:rsidR="00717DD9" w:rsidTr="008E73DE">
        <w:trPr>
          <w:trHeight w:val="75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Payment Reform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244849" w:rsidP="001641B5">
            <w:pPr>
              <w:spacing w:line="276" w:lineRule="auto"/>
              <w:ind w:left="58"/>
            </w:pPr>
            <w:r>
              <w:t xml:space="preserve">Inform primary care and behavioral health quality improvement learning collaboratives with </w:t>
            </w:r>
            <w:r w:rsidR="00074BAB">
              <w:t>strategie</w:t>
            </w:r>
            <w:r>
              <w:t>s to advance quality care with new payment models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1641B5">
            <w:pPr>
              <w:spacing w:line="276" w:lineRule="auto"/>
              <w:rPr>
                <w:color w:val="1F497D"/>
              </w:rPr>
            </w:pPr>
            <w:r w:rsidRPr="006E3A6D">
              <w:t>Align innovative payment strategies</w:t>
            </w:r>
            <w:r>
              <w:t xml:space="preserve"> (e.g. Shared Savings A</w:t>
            </w:r>
            <w:r w:rsidR="00BF4DD7">
              <w:t xml:space="preserve">ccountable </w:t>
            </w:r>
            <w:r>
              <w:t>C</w:t>
            </w:r>
            <w:r w:rsidR="00BF4DD7">
              <w:t xml:space="preserve">are </w:t>
            </w:r>
            <w:r>
              <w:t>O</w:t>
            </w:r>
            <w:r w:rsidR="00BF4DD7">
              <w:t>rganization</w:t>
            </w:r>
            <w:r>
              <w:t xml:space="preserve"> models)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1641B5">
            <w:pPr>
              <w:spacing w:line="276" w:lineRule="auto"/>
              <w:ind w:left="51"/>
            </w:pPr>
            <w:r>
              <w:t xml:space="preserve">Assess data availability </w:t>
            </w:r>
          </w:p>
          <w:p w:rsidR="00717DD9" w:rsidRDefault="00717DD9" w:rsidP="001641B5">
            <w:pPr>
              <w:spacing w:line="276" w:lineRule="auto"/>
              <w:ind w:left="51"/>
            </w:pPr>
            <w:r>
              <w:t>(Clinical, Administrative)</w:t>
            </w:r>
          </w:p>
        </w:tc>
      </w:tr>
      <w:tr w:rsidR="00717DD9" w:rsidTr="008E73DE">
        <w:trPr>
          <w:trHeight w:val="88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244849" w:rsidP="001641B5">
            <w:pPr>
              <w:spacing w:line="276" w:lineRule="auto"/>
              <w:ind w:left="56"/>
            </w:pPr>
            <w:r>
              <w:t xml:space="preserve">Inform payment reform strategies with best practices and feasibility considerations from delivery system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</w:pPr>
            <w:r>
              <w:t>Inform development of MaineCare Accountable Communities initiative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3552BE" w:rsidP="001641B5">
            <w:pPr>
              <w:spacing w:line="276" w:lineRule="auto"/>
              <w:ind w:left="51"/>
            </w:pPr>
            <w:r>
              <w:t xml:space="preserve">Inform plan for reporting of clinical quality metrics under Accountable Communities </w:t>
            </w:r>
          </w:p>
        </w:tc>
      </w:tr>
      <w:tr w:rsidR="00717DD9" w:rsidTr="008E73DE">
        <w:trPr>
          <w:trHeight w:val="60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6"/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rPr>
                <w:color w:val="1F497D"/>
              </w:rPr>
            </w:pPr>
            <w:r>
              <w:t>Promote Value Based Insurance Design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1"/>
            </w:pPr>
          </w:p>
        </w:tc>
      </w:tr>
      <w:tr w:rsidR="00717DD9" w:rsidTr="00143C70">
        <w:trPr>
          <w:trHeight w:val="607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3557B9" w:rsidP="001641B5">
            <w:pPr>
              <w:spacing w:line="276" w:lineRule="auto"/>
            </w:pPr>
            <w:r>
              <w:t>Inform the process of identifying cost drivers and the development of payment reform strategies being undertaken by the Health Care and Behavioral Health Care Cost Workgroups, as well as the A</w:t>
            </w:r>
            <w:r w:rsidR="00BF4DD7">
              <w:t xml:space="preserve">ccountable </w:t>
            </w:r>
            <w:r>
              <w:t>C</w:t>
            </w:r>
            <w:r w:rsidR="00BF4DD7">
              <w:t xml:space="preserve">are </w:t>
            </w:r>
            <w:r>
              <w:t>I</w:t>
            </w:r>
            <w:r w:rsidR="00BF4DD7">
              <w:t>mplementation</w:t>
            </w:r>
            <w:r>
              <w:t xml:space="preserve"> workgroup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1"/>
            </w:pPr>
          </w:p>
        </w:tc>
      </w:tr>
      <w:tr w:rsidR="00717DD9" w:rsidTr="008E73DE">
        <w:trPr>
          <w:trHeight w:val="405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Data Analytics &amp; Reporting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DD9" w:rsidRDefault="00717DD9" w:rsidP="001641B5">
            <w:pPr>
              <w:spacing w:line="276" w:lineRule="auto"/>
              <w:ind w:left="56"/>
            </w:pPr>
            <w:r>
              <w:t>Provide guidance on development, use of Primary Care Practice Reports</w:t>
            </w:r>
            <w:r w:rsidR="002C4257">
              <w:t xml:space="preserve"> &amp;</w:t>
            </w:r>
            <w:r w:rsidR="00A912FF">
              <w:t xml:space="preserve"> Accountable Communities Utilization reports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E47" w:rsidRDefault="00322E47" w:rsidP="001641B5">
            <w:pPr>
              <w:spacing w:line="276" w:lineRule="auto"/>
            </w:pPr>
            <w:r>
              <w:t>Support the identification of Accountable Care measures to include quality, cost and efficiency metrics for practices and systems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CF9" w:rsidRDefault="009D5CF9" w:rsidP="001641B5">
            <w:pPr>
              <w:spacing w:line="276" w:lineRule="auto"/>
              <w:ind w:left="51"/>
            </w:pPr>
            <w:r>
              <w:t>Support the A</w:t>
            </w:r>
            <w:r w:rsidR="00BF4DD7">
              <w:t xml:space="preserve">ccountable </w:t>
            </w:r>
            <w:r>
              <w:t>C</w:t>
            </w:r>
            <w:r w:rsidR="00BF4DD7">
              <w:t xml:space="preserve">are </w:t>
            </w:r>
            <w:r>
              <w:t>O</w:t>
            </w:r>
            <w:r w:rsidR="00BF4DD7">
              <w:t>rganization</w:t>
            </w:r>
            <w:r>
              <w:t xml:space="preserve"> measure process and Primary Care reports as needed by assessing data availability </w:t>
            </w:r>
          </w:p>
          <w:p w:rsidR="00717DD9" w:rsidRDefault="00717DD9" w:rsidP="001641B5">
            <w:pPr>
              <w:spacing w:line="276" w:lineRule="auto"/>
              <w:ind w:left="51"/>
            </w:pPr>
          </w:p>
        </w:tc>
      </w:tr>
      <w:tr w:rsidR="00717DD9" w:rsidTr="008E73DE">
        <w:trPr>
          <w:trHeight w:val="833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2C4257" w:rsidP="001641B5">
            <w:pPr>
              <w:spacing w:line="276" w:lineRule="auto"/>
              <w:ind w:left="56"/>
            </w:pPr>
            <w:r>
              <w:t>Provide guidance on use of new metrics for clinical quality improvement  in primary care and behavioral health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8E73DE" w:rsidP="001641B5">
            <w:pPr>
              <w:spacing w:line="276" w:lineRule="auto"/>
            </w:pPr>
            <w:r>
              <w:t>Identify Behavioral H</w:t>
            </w:r>
            <w:r w:rsidR="00717DD9">
              <w:t xml:space="preserve">ealth </w:t>
            </w:r>
            <w:r>
              <w:t>m</w:t>
            </w:r>
            <w:r w:rsidR="00717DD9">
              <w:t>etrics for public reporting and payment reform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064A2A" w:rsidP="001641B5">
            <w:pPr>
              <w:spacing w:line="276" w:lineRule="auto"/>
              <w:ind w:left="51"/>
            </w:pPr>
            <w:r>
              <w:t>Advise on appropriate dashboard metrics for high risk MaineCare members</w:t>
            </w:r>
          </w:p>
        </w:tc>
      </w:tr>
      <w:tr w:rsidR="00717DD9" w:rsidTr="00143C70">
        <w:trPr>
          <w:trHeight w:val="833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17DD9" w:rsidRPr="00EE37BB" w:rsidRDefault="00717DD9" w:rsidP="001641B5">
            <w:pPr>
              <w:spacing w:after="200" w:line="276" w:lineRule="auto"/>
              <w:ind w:left="190"/>
              <w:rPr>
                <w:b/>
                <w:i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6"/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47" w:rsidRDefault="00322E47" w:rsidP="001641B5">
            <w:pPr>
              <w:spacing w:line="276" w:lineRule="auto"/>
            </w:pPr>
            <w:r>
              <w:t>Inform the  process/system for reporting health care costs (to include B</w:t>
            </w:r>
            <w:r w:rsidR="00BF4DD7">
              <w:t xml:space="preserve">ehavioral </w:t>
            </w:r>
            <w:r>
              <w:t>H</w:t>
            </w:r>
            <w:r w:rsidR="00BF4DD7">
              <w:t>ealth</w:t>
            </w:r>
            <w:r>
              <w:t>)</w:t>
            </w:r>
          </w:p>
        </w:tc>
        <w:tc>
          <w:tcPr>
            <w:tcW w:w="29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9" w:rsidRDefault="00717DD9" w:rsidP="001641B5">
            <w:pPr>
              <w:spacing w:line="276" w:lineRule="auto"/>
              <w:ind w:left="51"/>
            </w:pPr>
          </w:p>
        </w:tc>
      </w:tr>
    </w:tbl>
    <w:p w:rsidR="00143C70" w:rsidRDefault="00143C70" w:rsidP="001641B5">
      <w:pPr>
        <w:tabs>
          <w:tab w:val="left" w:pos="6405"/>
        </w:tabs>
        <w:spacing w:line="276" w:lineRule="auto"/>
      </w:pPr>
      <w:r>
        <w:br w:type="page"/>
      </w:r>
    </w:p>
    <w:tbl>
      <w:tblPr>
        <w:tblpPr w:leftFromText="187" w:rightFromText="187" w:bottomFromText="72" w:vertAnchor="text" w:horzAnchor="margin" w:tblpXSpec="center" w:tblpY="289"/>
        <w:tblW w:w="1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330"/>
        <w:gridCol w:w="3150"/>
        <w:gridCol w:w="2970"/>
      </w:tblGrid>
      <w:tr w:rsidR="002C4257" w:rsidTr="008E376A">
        <w:trPr>
          <w:cantSplit/>
          <w:trHeight w:val="422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2C4257" w:rsidRPr="00F758A0" w:rsidRDefault="002C4257" w:rsidP="001641B5">
            <w:pPr>
              <w:spacing w:line="276" w:lineRule="auto"/>
              <w:jc w:val="center"/>
              <w:rPr>
                <w:b/>
              </w:rPr>
            </w:pPr>
            <w:r w:rsidRPr="00F758A0">
              <w:rPr>
                <w:b/>
              </w:rPr>
              <w:lastRenderedPageBreak/>
              <w:t>SIM Key Strategies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4C79B2" w:rsidRDefault="002C4257" w:rsidP="001641B5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Delivery System Reform</w:t>
            </w:r>
            <w:r>
              <w:rPr>
                <w:b/>
              </w:rPr>
              <w:t xml:space="preserve"> Subcommittee (Maine Quality Counts)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4C79B2" w:rsidRDefault="002C4257" w:rsidP="001641B5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Payment Reform</w:t>
            </w:r>
            <w:r>
              <w:rPr>
                <w:b/>
              </w:rPr>
              <w:t xml:space="preserve"> Subcommittee (Maine Health Management Coalition)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4C79B2" w:rsidRDefault="002C4257" w:rsidP="001641B5">
            <w:pPr>
              <w:spacing w:line="276" w:lineRule="auto"/>
              <w:jc w:val="center"/>
              <w:rPr>
                <w:b/>
              </w:rPr>
            </w:pPr>
            <w:r w:rsidRPr="004C79B2">
              <w:rPr>
                <w:b/>
              </w:rPr>
              <w:t>Data</w:t>
            </w:r>
            <w:r>
              <w:rPr>
                <w:b/>
              </w:rPr>
              <w:t xml:space="preserve"> </w:t>
            </w:r>
            <w:r w:rsidRPr="004C79B2">
              <w:rPr>
                <w:b/>
              </w:rPr>
              <w:t>Infrastructure</w:t>
            </w:r>
            <w:r>
              <w:rPr>
                <w:b/>
              </w:rPr>
              <w:t xml:space="preserve"> Subcommittee (HealthInfoNet)</w:t>
            </w:r>
          </w:p>
        </w:tc>
      </w:tr>
      <w:tr w:rsidR="002C4257" w:rsidTr="008E376A">
        <w:trPr>
          <w:cantSplit/>
          <w:trHeight w:val="422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Pr="00EE37BB" w:rsidRDefault="002C4257" w:rsidP="001641B5">
            <w:pPr>
              <w:spacing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System Delivery Reform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  <w:ind w:left="56"/>
              <w:contextualSpacing/>
            </w:pPr>
            <w:r w:rsidRPr="00831E6C">
              <w:rPr>
                <w:b/>
              </w:rPr>
              <w:t>Primary Care Transformation</w:t>
            </w:r>
            <w:r>
              <w:t xml:space="preserve">: Provide guidance on Health Homes Quality Improvement support/ Learning Collaborative 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  <w:ind w:left="51"/>
            </w:pPr>
            <w:r>
              <w:t>Advise/promote use of HIN  notifications for events of care</w:t>
            </w:r>
          </w:p>
        </w:tc>
      </w:tr>
      <w:tr w:rsidR="002C4257" w:rsidTr="008E376A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717DD9" w:rsidRDefault="002C4257" w:rsidP="001641B5">
            <w:pPr>
              <w:spacing w:line="276" w:lineRule="auto"/>
              <w:ind w:left="56"/>
              <w:contextualSpacing/>
              <w:rPr>
                <w:b/>
              </w:rPr>
            </w:pPr>
            <w:r>
              <w:t xml:space="preserve">Inform development and execution of Developmental Disabilities/ Autism Training for Primary Care Providers 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</w:p>
        </w:tc>
      </w:tr>
      <w:tr w:rsidR="002C4257" w:rsidTr="008E376A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831E6C" w:rsidRDefault="008E376A" w:rsidP="001641B5">
            <w:pPr>
              <w:spacing w:line="276" w:lineRule="auto"/>
              <w:ind w:left="56"/>
              <w:contextualSpacing/>
              <w:rPr>
                <w:b/>
              </w:rPr>
            </w:pPr>
            <w:r>
              <w:t>Provide guidance on Behavioral Health Homes Learning Collaborative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  <w:r>
              <w:t>Inform plan for reporting of clinical qua</w:t>
            </w:r>
            <w:r w:rsidR="001641B5">
              <w:t>lity metrics under Health Homes</w:t>
            </w:r>
          </w:p>
        </w:tc>
      </w:tr>
      <w:tr w:rsidR="002C4257" w:rsidTr="008E376A">
        <w:trPr>
          <w:trHeight w:val="69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8E376A" w:rsidP="001641B5">
            <w:pPr>
              <w:spacing w:line="276" w:lineRule="auto"/>
              <w:ind w:left="56"/>
              <w:contextualSpacing/>
            </w:pPr>
            <w:r w:rsidRPr="003552BE">
              <w:t xml:space="preserve">Inform development and incorporation of physical health training component to Mental Health Rehabilitation </w:t>
            </w:r>
            <w:r w:rsidRPr="003552BE">
              <w:rPr>
                <w:rFonts w:ascii="Arial" w:eastAsia="Times New Roman" w:hAnsi="Arial" w:cs="Arial"/>
                <w:bCs/>
                <w:color w:val="333333"/>
                <w:sz w:val="39"/>
                <w:szCs w:val="39"/>
              </w:rPr>
              <w:t xml:space="preserve"> </w:t>
            </w:r>
            <w:r w:rsidRPr="003552BE">
              <w:rPr>
                <w:bCs/>
              </w:rPr>
              <w:t>Technician/Community (MHRT/C) certification program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1"/>
            </w:pPr>
            <w:r>
              <w:t xml:space="preserve">Assess data availability </w:t>
            </w:r>
          </w:p>
          <w:p w:rsidR="002C4257" w:rsidRDefault="002C4257" w:rsidP="001641B5">
            <w:pPr>
              <w:spacing w:after="200" w:line="276" w:lineRule="auto"/>
              <w:ind w:left="51"/>
            </w:pPr>
            <w:r>
              <w:t>(related to Behavioral Health quality reporting as it relates to health homes and HealthInfoNet’s Behavioral Health Request For Proposals)</w:t>
            </w:r>
          </w:p>
        </w:tc>
      </w:tr>
      <w:tr w:rsidR="002C4257" w:rsidTr="008E376A">
        <w:trPr>
          <w:trHeight w:val="45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6"/>
              <w:contextualSpacing/>
            </w:pPr>
            <w:r>
              <w:t>Promote wider system-level Quality Improvement changes – e.g. improving care transitions, reduce avoidable Emergency Department use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  <w:r>
              <w:t>Support Accountable Care Organization Learning Collaborative  - e.g. Account Care Implementation workgroups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</w:p>
        </w:tc>
      </w:tr>
      <w:tr w:rsidR="002C4257" w:rsidTr="008E376A">
        <w:trPr>
          <w:trHeight w:val="510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831E6C" w:rsidRDefault="002C4257" w:rsidP="001641B5">
            <w:pPr>
              <w:spacing w:line="276" w:lineRule="auto"/>
              <w:ind w:left="56"/>
            </w:pPr>
            <w:r>
              <w:t>Inform  development and use of Community Health Workers in transformed health care system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  <w:r w:rsidRPr="00570B63">
              <w:t>Inform the development of</w:t>
            </w:r>
            <w:r>
              <w:rPr>
                <w:b/>
              </w:rPr>
              <w:t xml:space="preserve"> </w:t>
            </w:r>
            <w:r>
              <w:t>a</w:t>
            </w:r>
            <w:r w:rsidRPr="00AA0F09">
              <w:t xml:space="preserve"> sustainable payment structure</w:t>
            </w:r>
            <w:r>
              <w:t xml:space="preserve"> for Community Health Worker Pilot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</w:p>
        </w:tc>
      </w:tr>
      <w:tr w:rsidR="002C4257" w:rsidTr="008E376A">
        <w:trPr>
          <w:trHeight w:val="1523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6"/>
            </w:pPr>
            <w:r>
              <w:t xml:space="preserve">Inform implementation of  National </w:t>
            </w:r>
            <w:r w:rsidRPr="00D6342F">
              <w:t>D</w:t>
            </w:r>
            <w:r>
              <w:t xml:space="preserve">iabetes </w:t>
            </w:r>
            <w:r w:rsidRPr="00D6342F">
              <w:t>P</w:t>
            </w:r>
            <w:r>
              <w:t xml:space="preserve">revention </w:t>
            </w:r>
            <w:r w:rsidRPr="00D6342F">
              <w:t>P</w:t>
            </w:r>
            <w:r>
              <w:t>rogram initiative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  <w:r>
              <w:t xml:space="preserve">Inform the development of a </w:t>
            </w:r>
            <w:r w:rsidRPr="00AA0F09">
              <w:t xml:space="preserve"> sustainable payment structure</w:t>
            </w:r>
            <w:r>
              <w:t xml:space="preserve"> for </w:t>
            </w:r>
            <w:r w:rsidRPr="00D6342F">
              <w:t xml:space="preserve"> </w:t>
            </w:r>
            <w:r>
              <w:t xml:space="preserve">National </w:t>
            </w:r>
            <w:r w:rsidRPr="00D6342F">
              <w:t>D</w:t>
            </w:r>
            <w:r>
              <w:t xml:space="preserve">iabetes </w:t>
            </w:r>
            <w:r w:rsidRPr="00D6342F">
              <w:t>P</w:t>
            </w:r>
            <w:r>
              <w:t xml:space="preserve">revention </w:t>
            </w:r>
            <w:r w:rsidRPr="00D6342F">
              <w:t>P</w:t>
            </w:r>
            <w:r>
              <w:t>rogram</w:t>
            </w:r>
            <w:r w:rsidRPr="00D6342F">
              <w:t xml:space="preserve"> initiative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</w:p>
        </w:tc>
      </w:tr>
      <w:tr w:rsidR="002C4257" w:rsidTr="00BE0B55">
        <w:trPr>
          <w:trHeight w:val="1342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Pr="00147A74" w:rsidRDefault="002C4257" w:rsidP="001641B5">
            <w:pPr>
              <w:spacing w:line="276" w:lineRule="auto"/>
              <w:ind w:left="56"/>
            </w:pPr>
            <w:r>
              <w:t>Direct, provide input on leadership development initiative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  <w:ind w:left="51"/>
            </w:pPr>
          </w:p>
        </w:tc>
      </w:tr>
      <w:tr w:rsidR="001641B5" w:rsidRPr="001641B5" w:rsidTr="00CF0BCA">
        <w:trPr>
          <w:cantSplit/>
          <w:trHeight w:val="422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1641B5" w:rsidRPr="001641B5" w:rsidRDefault="001641B5" w:rsidP="001641B5">
            <w:pPr>
              <w:spacing w:line="276" w:lineRule="auto"/>
              <w:ind w:left="190"/>
              <w:rPr>
                <w:b/>
                <w:i/>
              </w:rPr>
            </w:pPr>
            <w:r w:rsidRPr="001641B5">
              <w:rPr>
                <w:b/>
                <w:i/>
              </w:rPr>
              <w:lastRenderedPageBreak/>
              <w:t>SIM Key Strategies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1B5" w:rsidRPr="001641B5" w:rsidRDefault="001641B5" w:rsidP="001641B5">
            <w:pPr>
              <w:spacing w:line="276" w:lineRule="auto"/>
              <w:ind w:left="190"/>
              <w:rPr>
                <w:b/>
                <w:i/>
              </w:rPr>
            </w:pPr>
            <w:r w:rsidRPr="001641B5">
              <w:rPr>
                <w:b/>
                <w:i/>
              </w:rPr>
              <w:t>Delivery System Reform Subcommittee (Maine Quality Counts)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1B5" w:rsidRPr="001641B5" w:rsidRDefault="001641B5" w:rsidP="001641B5">
            <w:pPr>
              <w:spacing w:line="276" w:lineRule="auto"/>
              <w:ind w:left="190"/>
              <w:rPr>
                <w:b/>
                <w:i/>
              </w:rPr>
            </w:pPr>
            <w:r w:rsidRPr="001641B5">
              <w:rPr>
                <w:b/>
                <w:i/>
              </w:rPr>
              <w:t>Payment Reform Subcommittee (Maine Health Management Coalition)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1B5" w:rsidRPr="001641B5" w:rsidRDefault="001641B5" w:rsidP="001641B5">
            <w:pPr>
              <w:spacing w:line="276" w:lineRule="auto"/>
              <w:ind w:left="190"/>
              <w:rPr>
                <w:b/>
                <w:i/>
              </w:rPr>
            </w:pPr>
            <w:r w:rsidRPr="001641B5">
              <w:rPr>
                <w:b/>
                <w:i/>
              </w:rPr>
              <w:t>Data Infrastructure Subcommittee (HealthInfoNet)</w:t>
            </w:r>
          </w:p>
        </w:tc>
      </w:tr>
      <w:tr w:rsidR="002C4257" w:rsidTr="008E376A">
        <w:trPr>
          <w:trHeight w:val="418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Pr="00EE37BB" w:rsidRDefault="002C4257" w:rsidP="001641B5">
            <w:pPr>
              <w:spacing w:line="276" w:lineRule="auto"/>
              <w:ind w:left="190"/>
              <w:rPr>
                <w:b/>
                <w:i/>
              </w:rPr>
            </w:pPr>
            <w:r w:rsidRPr="00EE37BB">
              <w:rPr>
                <w:b/>
                <w:i/>
              </w:rPr>
              <w:t>Health Information Technology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</w:pPr>
            <w:r>
              <w:t>Guide, inform and support development and application of health information technology tools for quality improvement in primary care, behavioral health, and healthcare neighborhood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257" w:rsidRDefault="002C4257" w:rsidP="001641B5">
            <w:pPr>
              <w:spacing w:line="276" w:lineRule="auto"/>
              <w:ind w:left="51"/>
              <w:contextualSpacing/>
            </w:pPr>
            <w:r>
              <w:t>Vet evaluation of Behavioral Health Request For Proposal</w:t>
            </w:r>
          </w:p>
        </w:tc>
      </w:tr>
      <w:tr w:rsidR="002C4257" w:rsidTr="008E376A">
        <w:trPr>
          <w:trHeight w:val="34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contextualSpacing/>
            </w:pPr>
            <w:r>
              <w:t>Support development and implementation of P</w:t>
            </w:r>
            <w:r w:rsidR="008E376A">
              <w:t xml:space="preserve">ersonal </w:t>
            </w:r>
            <w:r>
              <w:t>H</w:t>
            </w:r>
            <w:r w:rsidR="008E376A">
              <w:t xml:space="preserve">ealth </w:t>
            </w:r>
            <w:r>
              <w:t>R</w:t>
            </w:r>
            <w:r w:rsidR="008E376A">
              <w:t>ecord (PHR)</w:t>
            </w:r>
            <w:r>
              <w:t xml:space="preserve"> pilot in Health Home settings to advance quality of care goals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1"/>
              <w:contextualSpacing/>
            </w:pPr>
            <w:r>
              <w:t>Vet Personal  Health Record pilot selection,</w:t>
            </w:r>
          </w:p>
          <w:p w:rsidR="002C4257" w:rsidRDefault="002C4257" w:rsidP="001641B5">
            <w:pPr>
              <w:spacing w:line="276" w:lineRule="auto"/>
              <w:ind w:left="51"/>
              <w:contextualSpacing/>
            </w:pPr>
            <w:r>
              <w:t>Launch, evaluate Personal Health Record</w:t>
            </w:r>
          </w:p>
        </w:tc>
      </w:tr>
      <w:tr w:rsidR="002C4257" w:rsidTr="008E376A">
        <w:trPr>
          <w:trHeight w:val="482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1641B5" w:rsidP="001641B5">
            <w:pPr>
              <w:spacing w:line="276" w:lineRule="auto"/>
              <w:contextualSpacing/>
            </w:pPr>
            <w:r>
              <w:t>Provide guidance on ways to e</w:t>
            </w:r>
            <w:r w:rsidR="002C4257">
              <w:t>ducate delivery system and patients on effective use of health information technology tools for improved quality of care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1"/>
              <w:contextualSpacing/>
            </w:pPr>
            <w:r>
              <w:t>Advise on interoperability issues</w:t>
            </w:r>
          </w:p>
        </w:tc>
      </w:tr>
      <w:tr w:rsidR="002C4257" w:rsidTr="008E376A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Pr="00F758A0" w:rsidRDefault="002C4257" w:rsidP="001641B5">
            <w:pPr>
              <w:spacing w:line="276" w:lineRule="auto"/>
              <w:ind w:left="190"/>
              <w:rPr>
                <w:b/>
                <w:i/>
              </w:rPr>
            </w:pPr>
            <w:r w:rsidRPr="00F758A0">
              <w:rPr>
                <w:b/>
                <w:i/>
              </w:rPr>
              <w:t>Consumer Engagement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6"/>
            </w:pPr>
            <w:r>
              <w:t>Provide guidance on consumer messaging campaign (ME CDC)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  <w:r>
              <w:t>Inform efforts around employee and beneficiary activation as related Value Based Insurance Design and Accountable Care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  <w:r>
              <w:t>Inform messaging and protocol re consent   and sharing of personal health information data</w:t>
            </w:r>
          </w:p>
        </w:tc>
      </w:tr>
      <w:tr w:rsidR="002C4257" w:rsidTr="008E376A">
        <w:trPr>
          <w:trHeight w:val="303"/>
        </w:trPr>
        <w:tc>
          <w:tcPr>
            <w:tcW w:w="1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2C4257" w:rsidRDefault="002C4257" w:rsidP="001641B5">
            <w:pPr>
              <w:spacing w:line="276" w:lineRule="auto"/>
              <w:ind w:left="190"/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  <w:ind w:left="56"/>
            </w:pPr>
            <w:r>
              <w:t>Provide guidance on Shared Decision Making pilot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after="200" w:line="276" w:lineRule="auto"/>
            </w:pPr>
            <w:r>
              <w:t>Inform development of Value Based Insurance Design strategies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257" w:rsidRDefault="002C4257" w:rsidP="001641B5">
            <w:pPr>
              <w:spacing w:line="276" w:lineRule="auto"/>
            </w:pPr>
          </w:p>
        </w:tc>
      </w:tr>
    </w:tbl>
    <w:p w:rsidR="004C79B2" w:rsidRPr="00147A74" w:rsidRDefault="004C79B2" w:rsidP="00946E60">
      <w:pPr>
        <w:jc w:val="center"/>
        <w:rPr>
          <w:b/>
          <w:sz w:val="12"/>
          <w:szCs w:val="12"/>
        </w:rPr>
      </w:pPr>
    </w:p>
    <w:p w:rsidR="00147A74" w:rsidRPr="00EE37BB" w:rsidRDefault="00147A74">
      <w:pPr>
        <w:jc w:val="center"/>
        <w:rPr>
          <w:i/>
          <w:sz w:val="24"/>
          <w:szCs w:val="36"/>
        </w:rPr>
      </w:pPr>
    </w:p>
    <w:sectPr w:rsidR="00147A74" w:rsidRPr="00EE37BB" w:rsidSect="003D6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2E" w:rsidRDefault="0020492E" w:rsidP="008F2B4F">
      <w:r>
        <w:separator/>
      </w:r>
    </w:p>
  </w:endnote>
  <w:endnote w:type="continuationSeparator" w:id="0">
    <w:p w:rsidR="0020492E" w:rsidRDefault="0020492E" w:rsidP="008F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57" w:rsidRDefault="002C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70" w:rsidRDefault="008E73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10</w:t>
    </w:r>
    <w:r w:rsidR="00143C70"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</w:rPr>
      <w:t>16/</w:t>
    </w:r>
    <w:r w:rsidR="00143C70">
      <w:rPr>
        <w:rFonts w:asciiTheme="majorHAnsi" w:eastAsiaTheme="majorEastAsia" w:hAnsiTheme="majorHAnsi" w:cstheme="majorBidi"/>
      </w:rPr>
      <w:t>2013</w:t>
    </w:r>
    <w:r w:rsidR="00143C70">
      <w:rPr>
        <w:rFonts w:asciiTheme="majorHAnsi" w:eastAsiaTheme="majorEastAsia" w:hAnsiTheme="majorHAnsi" w:cstheme="majorBidi"/>
      </w:rPr>
      <w:ptab w:relativeTo="margin" w:alignment="right" w:leader="none"/>
    </w:r>
    <w:r w:rsidR="00143C70">
      <w:rPr>
        <w:rFonts w:asciiTheme="majorHAnsi" w:eastAsiaTheme="majorEastAsia" w:hAnsiTheme="majorHAnsi" w:cstheme="majorBidi"/>
      </w:rPr>
      <w:t xml:space="preserve">Page </w:t>
    </w:r>
    <w:r w:rsidR="00143C70">
      <w:rPr>
        <w:rFonts w:asciiTheme="minorHAnsi" w:eastAsiaTheme="minorEastAsia" w:hAnsiTheme="minorHAnsi" w:cstheme="minorBidi"/>
      </w:rPr>
      <w:fldChar w:fldCharType="begin"/>
    </w:r>
    <w:r w:rsidR="00143C70">
      <w:instrText xml:space="preserve"> PAGE   \* MERGEFORMAT </w:instrText>
    </w:r>
    <w:r w:rsidR="00143C70">
      <w:rPr>
        <w:rFonts w:asciiTheme="minorHAnsi" w:eastAsiaTheme="minorEastAsia" w:hAnsiTheme="minorHAnsi" w:cstheme="minorBidi"/>
      </w:rPr>
      <w:fldChar w:fldCharType="separate"/>
    </w:r>
    <w:r w:rsidR="0089675F" w:rsidRPr="0089675F">
      <w:rPr>
        <w:rFonts w:asciiTheme="majorHAnsi" w:eastAsiaTheme="majorEastAsia" w:hAnsiTheme="majorHAnsi" w:cstheme="majorBidi"/>
        <w:noProof/>
      </w:rPr>
      <w:t>2</w:t>
    </w:r>
    <w:r w:rsidR="00143C70">
      <w:rPr>
        <w:rFonts w:asciiTheme="majorHAnsi" w:eastAsiaTheme="majorEastAsia" w:hAnsiTheme="majorHAnsi" w:cstheme="majorBidi"/>
        <w:noProof/>
      </w:rPr>
      <w:fldChar w:fldCharType="end"/>
    </w:r>
  </w:p>
  <w:p w:rsidR="008F2B4F" w:rsidRDefault="008F2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57" w:rsidRDefault="002C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2E" w:rsidRDefault="0020492E" w:rsidP="008F2B4F">
      <w:r>
        <w:separator/>
      </w:r>
    </w:p>
  </w:footnote>
  <w:footnote w:type="continuationSeparator" w:id="0">
    <w:p w:rsidR="0020492E" w:rsidRDefault="0020492E" w:rsidP="008F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049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8376" o:sp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049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8377" o:sp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4F" w:rsidRDefault="002049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048375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1F"/>
    <w:multiLevelType w:val="hybridMultilevel"/>
    <w:tmpl w:val="9D6810AC"/>
    <w:lvl w:ilvl="0" w:tplc="7DACBB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95E21"/>
    <w:multiLevelType w:val="hybridMultilevel"/>
    <w:tmpl w:val="B25883CE"/>
    <w:lvl w:ilvl="0" w:tplc="496AB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4F"/>
    <w:rsid w:val="000004BF"/>
    <w:rsid w:val="00064A2A"/>
    <w:rsid w:val="00074BAB"/>
    <w:rsid w:val="00143C70"/>
    <w:rsid w:val="00147A74"/>
    <w:rsid w:val="00155899"/>
    <w:rsid w:val="001641B5"/>
    <w:rsid w:val="001C6E70"/>
    <w:rsid w:val="001D56D4"/>
    <w:rsid w:val="001E0A4F"/>
    <w:rsid w:val="001E2EBD"/>
    <w:rsid w:val="0020492E"/>
    <w:rsid w:val="00233C44"/>
    <w:rsid w:val="00244849"/>
    <w:rsid w:val="00257B3E"/>
    <w:rsid w:val="002C4257"/>
    <w:rsid w:val="0031323B"/>
    <w:rsid w:val="00322E47"/>
    <w:rsid w:val="003552BE"/>
    <w:rsid w:val="003557B9"/>
    <w:rsid w:val="003B092E"/>
    <w:rsid w:val="003D68DB"/>
    <w:rsid w:val="00430500"/>
    <w:rsid w:val="004535F0"/>
    <w:rsid w:val="00485C8B"/>
    <w:rsid w:val="004A497E"/>
    <w:rsid w:val="004B5E73"/>
    <w:rsid w:val="004C79B2"/>
    <w:rsid w:val="00570B63"/>
    <w:rsid w:val="0059461C"/>
    <w:rsid w:val="00595B41"/>
    <w:rsid w:val="005C69E7"/>
    <w:rsid w:val="006951A4"/>
    <w:rsid w:val="006E3A6D"/>
    <w:rsid w:val="00717DD9"/>
    <w:rsid w:val="007D04BD"/>
    <w:rsid w:val="0080133A"/>
    <w:rsid w:val="00831E6C"/>
    <w:rsid w:val="008600F4"/>
    <w:rsid w:val="0089675F"/>
    <w:rsid w:val="008A1EEE"/>
    <w:rsid w:val="008E376A"/>
    <w:rsid w:val="008E73DE"/>
    <w:rsid w:val="008F2B4F"/>
    <w:rsid w:val="00924385"/>
    <w:rsid w:val="00946E60"/>
    <w:rsid w:val="009D5CF9"/>
    <w:rsid w:val="00A43D32"/>
    <w:rsid w:val="00A563C9"/>
    <w:rsid w:val="00A912FF"/>
    <w:rsid w:val="00AA0F09"/>
    <w:rsid w:val="00AD3F66"/>
    <w:rsid w:val="00AE7146"/>
    <w:rsid w:val="00B13520"/>
    <w:rsid w:val="00B27E41"/>
    <w:rsid w:val="00B550D4"/>
    <w:rsid w:val="00B57970"/>
    <w:rsid w:val="00BE0B55"/>
    <w:rsid w:val="00BE4768"/>
    <w:rsid w:val="00BF2671"/>
    <w:rsid w:val="00BF4DD7"/>
    <w:rsid w:val="00C153A8"/>
    <w:rsid w:val="00C176F9"/>
    <w:rsid w:val="00C35501"/>
    <w:rsid w:val="00C40988"/>
    <w:rsid w:val="00C826A3"/>
    <w:rsid w:val="00D6342F"/>
    <w:rsid w:val="00DD7010"/>
    <w:rsid w:val="00DE0DDA"/>
    <w:rsid w:val="00E96145"/>
    <w:rsid w:val="00EE37BB"/>
    <w:rsid w:val="00EE3F53"/>
    <w:rsid w:val="00F73156"/>
    <w:rsid w:val="00F758A0"/>
    <w:rsid w:val="00FA50BC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4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4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76">
      <w:bodyDiv w:val="1"/>
      <w:marLeft w:val="0"/>
      <w:marRight w:val="0"/>
      <w:marTop w:val="10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B0D9-E1B4-4DF1-A5B4-52E5DB89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Katie Sendze</cp:lastModifiedBy>
  <cp:revision>2</cp:revision>
  <dcterms:created xsi:type="dcterms:W3CDTF">2013-10-30T16:18:00Z</dcterms:created>
  <dcterms:modified xsi:type="dcterms:W3CDTF">2013-10-30T16:18:00Z</dcterms:modified>
</cp:coreProperties>
</file>